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505CC3" w14:textId="77777777" w:rsidR="001F3C18" w:rsidRPr="001F3C18" w:rsidRDefault="00E81F1D" w:rsidP="001F3C18">
      <w:pPr>
        <w:tabs>
          <w:tab w:val="left" w:pos="4000"/>
        </w:tabs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6</w:t>
      </w:r>
    </w:p>
    <w:p w14:paraId="64037C94" w14:textId="77777777" w:rsidR="001F3C18" w:rsidRPr="001F3C18" w:rsidRDefault="001F3C18" w:rsidP="001F3C18">
      <w:pPr>
        <w:spacing w:after="0"/>
        <w:jc w:val="both"/>
        <w:rPr>
          <w:rFonts w:ascii="Arial" w:eastAsia="Times New Roman" w:hAnsi="Arial" w:cs="Arial"/>
          <w:sz w:val="20"/>
          <w:lang w:eastAsia="pt-BR"/>
        </w:rPr>
      </w:pPr>
    </w:p>
    <w:p w14:paraId="74CF2E80" w14:textId="77777777"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b/>
          <w:b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SEFAZ Nº 971 DE 12/02/2016</w:t>
      </w:r>
    </w:p>
    <w:p w14:paraId="4B37E48D" w14:textId="77777777"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</w:p>
    <w:p w14:paraId="3A47DF66" w14:textId="77777777"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Publicado no DOE em 16 </w:t>
      </w:r>
      <w:proofErr w:type="spell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>fev</w:t>
      </w:r>
      <w:proofErr w:type="spellEnd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 2016</w:t>
      </w:r>
    </w:p>
    <w:p w14:paraId="72520E4A" w14:textId="77777777"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</w:p>
    <w:p w14:paraId="50FB1C9A" w14:textId="77777777"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Estabelece normas para concessão de isenção do ICMS nas operações ou prestações internas, destinadas a órgãos da Administração Pública Estadual direta e suas fundações e autarquias, conforme previsto no Convênio ICMS nº 26/2003, e revoga as Resoluções SER </w:t>
      </w:r>
      <w:proofErr w:type="spellStart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>nºs</w:t>
      </w:r>
      <w:proofErr w:type="spellEnd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 47/2003 e 241/2006.</w:t>
      </w:r>
    </w:p>
    <w:p w14:paraId="4C851331" w14:textId="77777777" w:rsidR="001F3C18" w:rsidRPr="00CC4EA7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</w:p>
    <w:p w14:paraId="283E1113" w14:textId="77777777" w:rsidR="001F3C18" w:rsidRPr="001F3C18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>O Secretário de Estado de Fazenda, no uso de suas atribuições legais, e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Considerando o contido no Processo nº E-04/073/62/2013,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Resolve: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1º Ficam isentas do ICMS as operações e prestações internas, relativas à aquisição de bens, mercadorias ou serviços por órgãos da Administração Pública Estadual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2º Para fruição do benefício previsto no artigo anterior, o estabelecimento remetente deve abater do preço da mercadoria ou do serviço o valor equivalente ao imposto dispensado.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Nota Fiscal que acobertar a saída da mercadoria ou a prestação do serviço, o estabelecimento remetente fica obrigado a: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demonstrar os cálculos relativos à redução do preço;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mencionar a seguinte expressão: "Operação beneficiada com isenção do ICMS nos termos do Convênio ICMS 26 /2003 . Valor dispensado de R$______________ (valor por extenso)".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c) utilizar o Código de Situação Tributária - CST 40 "isenta" e preencher no campo "motivo da desoneração" a opção 8 "venda à órgãos públicos";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d) mencionar o número e a data da Nota de Empenho e o código da Unidade Executora;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e) mencionar o número da Declaração de Importação (DI) e da respectiva nota fiscal emitida na entrada, na hipótese de mercadoria ou bem importado.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As exigências estabelecidas nos itens "d" e "e" do § 1º não se aplicam às empresas concessionárias de serviço público de energia elétrica, telefonia e de fornecimento de água.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3º Na hipótese de qualquer operação com mercadorias importadas do exterior, a concessão do benefício fica condicionada à comprovação de inexistência de similar produzido no país.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lastRenderedPageBreak/>
        <w:t>Parágrafo único. A inexistência de similar produzido no país será atestada por órgão federal competente ou por entidade representativa do setor produtivo da mercadoria ou do bem com abrangência em todo o território nacional.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4º Fica dispensado o estorno do crédito fiscal do ICMS a que se refere o inciso I do art. 37 da Lei nº 2.657, de 26 de dezembro de 1996, relativo às mercadorias e serviços cuja operação subsequente seja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hipótese de mercadoria sujeita ao regime de substituição tributária, o contribuinte substituto: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 - poderá manter o crédito fiscal relativo a operações anteriores à saída de mercadoria cuja operação subsequente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 - deverá deduzir do imposto retido nas próximas remessas para o mesmo contribuinte substituído: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o imposto que foi retido na saída de mercadoria cuja operação seguinte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imposto relativo à operação própria na saída de mercadoria cuja operação subsequente tenha sido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III - poderá transferir o valor do ICMS retido por antecipação, a crédito do contribuinte substituído que realizou a operação ou prestação subsequente isenta.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O disposto no § 1º aplica-se, tão somente, na proporção do volume de venda realizada pelo substituído para órgãos da Administração Pública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3º O disposto neste artigo não se aplica sobre eventuais créditos tributários acumulados em data anterior ao início da vigência desta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5º O descumprimento das condições estabelecidas nesta resolução acarreta a perda do direito ao benefício nela previsto e a exigibilidade do imposto não pago, com todos os acréscimos legais.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6º Esta Resolução entrará em vigor na data de sua publicação, revogando a Resolução SER nº 47, de 24 de setembro de 2003, e a Resolução SER nº 241, de 09 de janeiro de 2006.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Rio de Janeiro, 12 de fevereiro de 2016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JULIO CÉSAR CARMO BUENO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Secretário de Estado de Fazenda</w:t>
      </w:r>
    </w:p>
    <w:p w14:paraId="7021CA4F" w14:textId="77777777" w:rsidR="008E1D72" w:rsidRPr="001F3C18" w:rsidRDefault="008E1D72" w:rsidP="001F3C18"/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99520" w14:textId="77777777" w:rsidR="00704A9D" w:rsidRDefault="00704A9D" w:rsidP="004E7AFB">
      <w:pPr>
        <w:spacing w:after="0" w:line="240" w:lineRule="auto"/>
      </w:pPr>
      <w:r>
        <w:separator/>
      </w:r>
    </w:p>
  </w:endnote>
  <w:endnote w:type="continuationSeparator" w:id="0">
    <w:p w14:paraId="26D170B1" w14:textId="77777777" w:rsidR="00704A9D" w:rsidRDefault="00704A9D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5E035" w14:textId="77777777" w:rsidR="003F3DA8" w:rsidRDefault="003F3DA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D85C5" w14:textId="77777777" w:rsidR="003F3DA8" w:rsidRDefault="003F3DA8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3CB9A" w14:textId="77777777" w:rsidR="003F3DA8" w:rsidRDefault="003F3DA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D7B1A" w14:textId="77777777" w:rsidR="00704A9D" w:rsidRDefault="00704A9D" w:rsidP="004E7AFB">
      <w:pPr>
        <w:spacing w:after="0" w:line="240" w:lineRule="auto"/>
      </w:pPr>
      <w:r>
        <w:separator/>
      </w:r>
    </w:p>
  </w:footnote>
  <w:footnote w:type="continuationSeparator" w:id="0">
    <w:p w14:paraId="23754629" w14:textId="77777777" w:rsidR="00704A9D" w:rsidRDefault="00704A9D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EDEB2" w14:textId="77777777" w:rsidR="003F3DA8" w:rsidRDefault="003F3DA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35E86" w14:textId="6B0E0EA1" w:rsidR="004E7AFB" w:rsidRDefault="003F3DA8" w:rsidP="004E7AFB">
    <w:pPr>
      <w:pStyle w:val="Cabealho"/>
      <w:jc w:val="center"/>
    </w:pPr>
    <w:bookmarkStart w:id="0" w:name="_GoBack"/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8752" behindDoc="0" locked="0" layoutInCell="1" allowOverlap="1" wp14:anchorId="5E581D28" wp14:editId="0DE2B748">
          <wp:simplePos x="0" y="0"/>
          <wp:positionH relativeFrom="column">
            <wp:posOffset>2905125</wp:posOffset>
          </wp:positionH>
          <wp:positionV relativeFrom="paragraph">
            <wp:posOffset>-115570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14:paraId="74A01EC9" w14:textId="184D5DA4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0E148462" w14:textId="77777777" w:rsidR="003F3DA8" w:rsidRDefault="003F3DA8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3DC9FBDB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08CFDDB3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2978C70A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19788827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C98BF" w14:textId="77777777" w:rsidR="003F3DA8" w:rsidRDefault="003F3DA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70579"/>
    <w:rsid w:val="003B72F2"/>
    <w:rsid w:val="003F3DA8"/>
    <w:rsid w:val="004E7AFB"/>
    <w:rsid w:val="00520BBA"/>
    <w:rsid w:val="00552F7F"/>
    <w:rsid w:val="00704A9D"/>
    <w:rsid w:val="00705E19"/>
    <w:rsid w:val="008E1D72"/>
    <w:rsid w:val="00AF03BF"/>
    <w:rsid w:val="00CB7227"/>
    <w:rsid w:val="00CC4EA7"/>
    <w:rsid w:val="00E06F21"/>
    <w:rsid w:val="00E74A66"/>
    <w:rsid w:val="00E8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798D8C"/>
  <w15:docId w15:val="{7EB47DBF-83C5-44CD-8D0C-B77615F5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645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8</cp:revision>
  <cp:lastPrinted>2018-04-06T17:57:00Z</cp:lastPrinted>
  <dcterms:created xsi:type="dcterms:W3CDTF">2018-04-06T17:56:00Z</dcterms:created>
  <dcterms:modified xsi:type="dcterms:W3CDTF">2021-04-09T14:42:00Z</dcterms:modified>
</cp:coreProperties>
</file>